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CC232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CC232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6076C9">
        <w:rPr>
          <w:rFonts w:asciiTheme="majorHAnsi" w:hAnsiTheme="majorHAnsi" w:cstheme="majorHAnsi"/>
          <w:b/>
          <w:sz w:val="32"/>
          <w:szCs w:val="32"/>
        </w:rPr>
        <w:t xml:space="preserve"> MOČ ZA UMIRJANJE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076C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6076C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076C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Polona Šušteršič, Katja Mavec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7B664C" w:rsidRPr="00453068" w:rsidRDefault="007B664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pridobi občutek pritiska na sklepe in obsklepne strukture, izboljša usklajevanje gibanja različnih delov telesa, omogoča boljše zavedanje telesa, izboljša motorično načrtovanje in pozitivno vpliva na umirjanje ter koncentracijo.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7B664C" w:rsidRDefault="007B664C" w:rsidP="007B664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B664C">
              <w:rPr>
                <w:rFonts w:asciiTheme="majorHAnsi" w:hAnsiTheme="majorHAnsi" w:cstheme="majorHAnsi"/>
                <w:sz w:val="22"/>
                <w:szCs w:val="22"/>
              </w:rPr>
              <w:t>Vrv (debelejša)</w:t>
            </w:r>
          </w:p>
          <w:p w:rsidR="007B664C" w:rsidRPr="007B664C" w:rsidRDefault="007B664C" w:rsidP="007B664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B664C">
              <w:rPr>
                <w:rFonts w:asciiTheme="majorHAnsi" w:hAnsiTheme="majorHAnsi" w:cstheme="majorHAnsi"/>
                <w:sz w:val="22"/>
                <w:szCs w:val="22"/>
              </w:rPr>
              <w:t xml:space="preserve">Polna škatla (napolnjena s časopisnim papirjem ali </w:t>
            </w:r>
            <w:r w:rsidR="00A34EBE">
              <w:rPr>
                <w:rFonts w:asciiTheme="majorHAnsi" w:hAnsiTheme="majorHAnsi" w:cstheme="majorHAnsi"/>
                <w:sz w:val="22"/>
                <w:szCs w:val="22"/>
              </w:rPr>
              <w:t>drugim</w:t>
            </w:r>
            <w:r w:rsidRPr="007B664C">
              <w:rPr>
                <w:rFonts w:asciiTheme="majorHAnsi" w:hAnsiTheme="majorHAnsi" w:cstheme="majorHAnsi"/>
                <w:sz w:val="22"/>
                <w:szCs w:val="22"/>
              </w:rPr>
              <w:t xml:space="preserve"> težjim materialom) lahko tudi druge težje stv</w:t>
            </w:r>
            <w:r w:rsidR="00A34EBE">
              <w:rPr>
                <w:rFonts w:asciiTheme="majorHAnsi" w:hAnsiTheme="majorHAnsi" w:cstheme="majorHAnsi"/>
                <w:sz w:val="22"/>
                <w:szCs w:val="22"/>
              </w:rPr>
              <w:t>ari, ki jih otrok lahko potiska ali vleče.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44595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Vrv pritrdite (zavežete) na trden del pohištva, lahko le en konec vrvi ali oba (če je možno). Otrok se usede na podlago, da bolje drsi (lahko je to ruta, krpa,…</w:t>
            </w:r>
            <w:r w:rsidR="00A34EBE">
              <w:rPr>
                <w:rFonts w:asciiTheme="majorHAnsi" w:hAnsiTheme="majorHAnsi" w:cstheme="majorHAnsi"/>
                <w:sz w:val="22"/>
                <w:szCs w:val="22"/>
              </w:rPr>
              <w:t>) in se vleče do konca vrvi in nazaj (če je to mogoče).</w:t>
            </w:r>
          </w:p>
          <w:p w:rsidR="00A34EBE" w:rsidRDefault="00A34E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Vrv naj bo čim debelejša.</w:t>
            </w:r>
          </w:p>
          <w:p w:rsidR="00A34EBE" w:rsidRDefault="00A34E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34EBE" w:rsidRDefault="00A34E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*Lahko postavite »pravilo«, da je dostop do nečesa (sobe, igrač, mize,…) mogoč le s pomočjo vrvi. Otrokom bo zabavno in večkrat bodo uporabljali to vrsto gibanja.</w:t>
            </w:r>
          </w:p>
          <w:p w:rsidR="00445957" w:rsidRDefault="0044595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5957" w:rsidRDefault="0044595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Težko škatlo otrok potiska pred seboj. Lahko jo uporabi namesto vozička ali prenašanja – predmete nalož</w:t>
            </w:r>
            <w:r w:rsidR="002B0AA5">
              <w:rPr>
                <w:rFonts w:asciiTheme="majorHAnsi" w:hAnsiTheme="majorHAnsi" w:cstheme="majorHAnsi"/>
                <w:sz w:val="22"/>
                <w:szCs w:val="22"/>
              </w:rPr>
              <w:t>i na vrh škatle in jih potiska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 stanovanju</w:t>
            </w:r>
            <w:r w:rsidR="002B0AA5">
              <w:rPr>
                <w:rFonts w:asciiTheme="majorHAnsi" w:hAnsiTheme="majorHAnsi" w:cstheme="majorHAnsi"/>
                <w:sz w:val="22"/>
                <w:szCs w:val="22"/>
              </w:rPr>
              <w:t>. Pod škatlo date lahko blago, da ne opraskate tal.</w:t>
            </w:r>
          </w:p>
          <w:p w:rsidR="002B0AA5" w:rsidRDefault="002B0AA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Alternativa – okoli škatle zavežete vrv, da jo otrok lahko vleče.</w:t>
            </w:r>
          </w:p>
          <w:p w:rsidR="002B0AA5" w:rsidRDefault="002B0AA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AA5" w:rsidRPr="00453068" w:rsidRDefault="002B0AA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Poudarek je na tem, da je škatla težka.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Default="002B0AA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348740" cy="1987578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ked20200226_110246_HDR_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84" cy="199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1FC5916" wp14:editId="6B4C3129">
                  <wp:extent cx="2658745" cy="1181100"/>
                  <wp:effectExtent l="0" t="0" r="8255" b="0"/>
                  <wp:docPr id="2" name="Slika 2" descr="Boys pulling and pushing boxes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ys pulling and pushing boxes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02" b="26145"/>
                          <a:stretch/>
                        </pic:blipFill>
                        <pic:spPr bwMode="auto">
                          <a:xfrm>
                            <a:off x="0" y="0"/>
                            <a:ext cx="2666742" cy="118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AA5" w:rsidRDefault="002B0AA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AA5" w:rsidRDefault="002B0AA5" w:rsidP="00261CF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C13309" wp14:editId="1AA84D6F">
                  <wp:extent cx="3055620" cy="2124612"/>
                  <wp:effectExtent l="0" t="0" r="0" b="9525"/>
                  <wp:docPr id="3" name="Slika 3" descr="Proprioceptive Activities for Kids - Spectrum Sense For M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prioceptive Activities for Kids - Spectrum Sense For M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480" cy="214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A5" w:rsidRPr="00A34EBE" w:rsidRDefault="00CC2324" w:rsidP="00302E4B">
            <w:pPr>
              <w:rPr>
                <w:rFonts w:asciiTheme="majorHAnsi" w:hAnsiTheme="majorHAnsi" w:cstheme="majorHAnsi"/>
                <w:sz w:val="14"/>
                <w:szCs w:val="22"/>
              </w:rPr>
            </w:pPr>
            <w:hyperlink r:id="rId13" w:history="1">
              <w:r w:rsidR="00A34EBE" w:rsidRPr="00A34EBE">
                <w:rPr>
                  <w:rStyle w:val="Hiperpovezava"/>
                  <w:sz w:val="16"/>
                </w:rPr>
                <w:t>https://www.vectorstock.com/royalty-free-vector/boys-pulling-and-pushing-boxes-vector-7682275</w:t>
              </w:r>
            </w:hyperlink>
          </w:p>
          <w:p w:rsidR="002B0AA5" w:rsidRPr="00453068" w:rsidRDefault="00CC232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A34EBE" w:rsidRPr="00A34EBE">
                <w:rPr>
                  <w:rStyle w:val="Hiperpovezava"/>
                  <w:sz w:val="16"/>
                </w:rPr>
                <w:t>https://www.spectrumsenseformoms.com/2019/03/25/proprioceptive-activities-for-kids/</w:t>
              </w:r>
            </w:hyperlink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A34E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 skupini smo prakticirali tovrstne dejavnosti in otrokom so bile zelo všeč. Hitro je bil opazen napredek v koordinaciji telesa</w:t>
            </w:r>
            <w:r w:rsidR="009E6374">
              <w:rPr>
                <w:rFonts w:asciiTheme="majorHAnsi" w:hAnsiTheme="majorHAnsi" w:cstheme="majorHAnsi"/>
                <w:sz w:val="22"/>
                <w:szCs w:val="22"/>
              </w:rPr>
              <w:t>, otroci so se zabavali in se pri tem tudi umirili. Pri dejavnostih so dolgo vztrajali, povečala se jim je koncentracija.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hybridMultilevel"/>
    <w:tmpl w:val="946C784E"/>
    <w:lvl w:ilvl="0" w:tplc="A382315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261CFA"/>
    <w:rsid w:val="002B0AA5"/>
    <w:rsid w:val="003E600C"/>
    <w:rsid w:val="00445957"/>
    <w:rsid w:val="006076C9"/>
    <w:rsid w:val="006B4B28"/>
    <w:rsid w:val="006B6614"/>
    <w:rsid w:val="007B664C"/>
    <w:rsid w:val="009E6374"/>
    <w:rsid w:val="00A34EBE"/>
    <w:rsid w:val="00CC2324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vectorstock.com/royalty-free-vector/boys-pulling-and-pushing-boxes-vector-7682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hyperlink" Target="https://www.spectrumsenseformoms.com/2019/03/25/proprioceptive-activities-for-kid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2020-03-31T09:50:00Z</dcterms:created>
  <dcterms:modified xsi:type="dcterms:W3CDTF">2020-03-31T09:50:00Z</dcterms:modified>
</cp:coreProperties>
</file>